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2ACE3" w14:textId="77777777" w:rsidR="00CA410B" w:rsidRDefault="00390F1E" w:rsidP="003A79FD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3A79FD">
        <w:rPr>
          <w:rFonts w:cstheme="minorHAnsi"/>
          <w:b/>
          <w:bCs/>
          <w:sz w:val="28"/>
          <w:szCs w:val="28"/>
          <w:u w:val="single"/>
        </w:rPr>
        <w:t xml:space="preserve">Practice Guidance </w:t>
      </w:r>
    </w:p>
    <w:p w14:paraId="1B9987E0" w14:textId="3D4568A9" w:rsidR="00375C49" w:rsidRPr="00705384" w:rsidRDefault="00705384" w:rsidP="00375C49">
      <w:pPr>
        <w:jc w:val="center"/>
        <w:rPr>
          <w:rFonts w:ascii="Calibri" w:hAnsi="Calibri" w:cs="Calibri"/>
          <w:b/>
        </w:rPr>
      </w:pPr>
      <w:r w:rsidRPr="00705384">
        <w:rPr>
          <w:rFonts w:cstheme="minorHAnsi"/>
          <w:b/>
          <w:bCs/>
          <w:sz w:val="28"/>
          <w:szCs w:val="28"/>
        </w:rPr>
        <w:t>Using Pre-Meeting Reports for Statutory Meetings as an Updating Child and Young Person Assessment</w:t>
      </w:r>
      <w:r w:rsidR="00375C49" w:rsidRPr="0070538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F774D9D" wp14:editId="6059AECD">
                <wp:simplePos x="0" y="0"/>
                <wp:positionH relativeFrom="margin">
                  <wp:posOffset>2165985</wp:posOffset>
                </wp:positionH>
                <wp:positionV relativeFrom="margin">
                  <wp:align>top</wp:align>
                </wp:positionV>
                <wp:extent cx="2000885" cy="1960880"/>
                <wp:effectExtent l="0" t="0" r="0" b="12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32CC" w14:textId="306F5836" w:rsidR="00375C49" w:rsidRDefault="00375C49" w:rsidP="00375C4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7DCCB" wp14:editId="6EFE3507">
                                  <wp:extent cx="1801368" cy="1801368"/>
                                  <wp:effectExtent l="19050" t="0" r="8382" b="0"/>
                                  <wp:docPr id="11" name="Picture 1" descr="CPP logo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P logo small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368" cy="18013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74D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0.55pt;margin-top:0;width:157.55pt;height:15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" stroked="f">
                <v:textbox>
                  <w:txbxContent>
                    <w:p w14:paraId="0FBA32CC" w14:textId="306F5836" w:rsidR="00375C49" w:rsidRDefault="00375C49" w:rsidP="00375C4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97DCCB" wp14:editId="6EFE3507">
                            <wp:extent cx="1801368" cy="1801368"/>
                            <wp:effectExtent l="19050" t="0" r="8382" b="0"/>
                            <wp:docPr id="11" name="Picture 1" descr="CPP logo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P logo small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368" cy="18013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505"/>
        <w:gridCol w:w="8549"/>
      </w:tblGrid>
      <w:tr w:rsidR="00375C49" w:rsidRPr="0008273A" w14:paraId="5C94355D" w14:textId="77777777" w:rsidTr="00E927C3">
        <w:trPr>
          <w:trHeight w:val="356"/>
        </w:trPr>
        <w:tc>
          <w:tcPr>
            <w:tcW w:w="748" w:type="pct"/>
          </w:tcPr>
          <w:p w14:paraId="6BFE59BD" w14:textId="77777777" w:rsidR="00375C49" w:rsidRPr="000C429C" w:rsidRDefault="00375C49" w:rsidP="007F3D8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Title:</w:t>
            </w:r>
          </w:p>
        </w:tc>
        <w:tc>
          <w:tcPr>
            <w:tcW w:w="4252" w:type="pct"/>
          </w:tcPr>
          <w:p w14:paraId="445E42BC" w14:textId="77BA08E1" w:rsidR="003A63FC" w:rsidRPr="003A79FD" w:rsidRDefault="00390F1E" w:rsidP="003A63FC">
            <w:pPr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CA410B">
              <w:rPr>
                <w:rFonts w:cstheme="minorHAnsi"/>
                <w:b/>
                <w:bCs/>
                <w:sz w:val="28"/>
                <w:szCs w:val="28"/>
              </w:rPr>
              <w:t xml:space="preserve">Practice Guidance – </w:t>
            </w:r>
            <w:r w:rsidR="00705384" w:rsidRPr="00705384">
              <w:rPr>
                <w:rFonts w:cstheme="minorHAnsi"/>
                <w:b/>
                <w:bCs/>
                <w:sz w:val="28"/>
                <w:szCs w:val="28"/>
              </w:rPr>
              <w:t>Using Pre-Meeting Reports for Statutory Meetings as an Updating Child and Young Person Assessment</w:t>
            </w:r>
          </w:p>
          <w:p w14:paraId="1369CAC2" w14:textId="77777777" w:rsidR="00375C49" w:rsidRPr="000C429C" w:rsidRDefault="00375C49" w:rsidP="003A63F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75C49" w:rsidRPr="0008273A" w14:paraId="10C0B7AA" w14:textId="77777777" w:rsidTr="00E927C3">
        <w:trPr>
          <w:trHeight w:val="357"/>
        </w:trPr>
        <w:tc>
          <w:tcPr>
            <w:tcW w:w="748" w:type="pct"/>
          </w:tcPr>
          <w:p w14:paraId="3CD0162A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Effective From: </w:t>
            </w:r>
          </w:p>
        </w:tc>
        <w:tc>
          <w:tcPr>
            <w:tcW w:w="4252" w:type="pct"/>
          </w:tcPr>
          <w:p w14:paraId="15EF19E2" w14:textId="379D9337" w:rsidR="00375C49" w:rsidRPr="000C429C" w:rsidRDefault="00181604" w:rsidP="00CA410B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10</w:t>
            </w:r>
            <w:r w:rsidRPr="00181604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3A63FC">
              <w:rPr>
                <w:rFonts w:cstheme="minorHAnsi"/>
                <w:b/>
                <w:bCs/>
                <w:sz w:val="28"/>
                <w:szCs w:val="28"/>
              </w:rPr>
              <w:t xml:space="preserve">January 2023 </w:t>
            </w:r>
            <w:r w:rsidR="00EB4D63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5C49" w:rsidRPr="0008273A" w14:paraId="37615EF1" w14:textId="77777777" w:rsidTr="00E927C3">
        <w:trPr>
          <w:trHeight w:val="841"/>
        </w:trPr>
        <w:tc>
          <w:tcPr>
            <w:tcW w:w="748" w:type="pct"/>
          </w:tcPr>
          <w:p w14:paraId="4C52AFF3" w14:textId="77777777" w:rsidR="00375C49" w:rsidRPr="000C429C" w:rsidRDefault="00375C49" w:rsidP="007F3D8F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 xml:space="preserve">Practice Note: </w:t>
            </w:r>
          </w:p>
        </w:tc>
        <w:tc>
          <w:tcPr>
            <w:tcW w:w="4252" w:type="pct"/>
          </w:tcPr>
          <w:p w14:paraId="040CBE1F" w14:textId="65E9E647" w:rsidR="00B1737D" w:rsidRDefault="00BB305B" w:rsidP="00B1737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For children </w:t>
            </w:r>
            <w:r w:rsidR="003A63FC">
              <w:rPr>
                <w:rFonts w:cstheme="minorHAnsi"/>
                <w:sz w:val="28"/>
                <w:szCs w:val="28"/>
                <w:u w:val="single"/>
              </w:rPr>
              <w:t xml:space="preserve">already </w:t>
            </w:r>
            <w:r>
              <w:rPr>
                <w:rFonts w:cstheme="minorHAnsi"/>
                <w:sz w:val="28"/>
                <w:szCs w:val="28"/>
              </w:rPr>
              <w:t>subject to Child Protection Plans</w:t>
            </w:r>
            <w:r w:rsidR="00B1737D">
              <w:rPr>
                <w:rFonts w:cstheme="minorHAnsi"/>
                <w:sz w:val="28"/>
                <w:szCs w:val="28"/>
              </w:rPr>
              <w:t xml:space="preserve">, the Pre-Meeting Report for the Child Protection Review Conference can be completed </w:t>
            </w:r>
            <w:r w:rsidR="00B1737D" w:rsidRPr="003A63FC">
              <w:rPr>
                <w:rFonts w:cstheme="minorHAnsi"/>
                <w:sz w:val="28"/>
                <w:szCs w:val="28"/>
              </w:rPr>
              <w:t>in place</w:t>
            </w:r>
            <w:r w:rsidR="00B1737D">
              <w:rPr>
                <w:rFonts w:cstheme="minorHAnsi"/>
                <w:sz w:val="28"/>
                <w:szCs w:val="28"/>
              </w:rPr>
              <w:t xml:space="preserve"> of an updating Child and Young Person’s Assessment. This means there will be one document to complete, and this will count as an updating assessment of the child’s needs. </w:t>
            </w:r>
          </w:p>
          <w:p w14:paraId="592CA898" w14:textId="77777777" w:rsidR="00B1737D" w:rsidRDefault="00B1737D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D642F60" w14:textId="2818BC1A" w:rsidR="00B1737D" w:rsidRDefault="00B1737D" w:rsidP="00B1737D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</w:t>
            </w:r>
            <w:r w:rsidR="003A63FC">
              <w:rPr>
                <w:rFonts w:cstheme="minorHAnsi"/>
                <w:sz w:val="28"/>
                <w:szCs w:val="28"/>
              </w:rPr>
              <w:t xml:space="preserve">or </w:t>
            </w:r>
            <w:r>
              <w:rPr>
                <w:rFonts w:cstheme="minorHAnsi"/>
                <w:sz w:val="28"/>
                <w:szCs w:val="28"/>
              </w:rPr>
              <w:t xml:space="preserve">children </w:t>
            </w:r>
            <w:r w:rsidR="003A63FC">
              <w:rPr>
                <w:rFonts w:cstheme="minorHAnsi"/>
                <w:sz w:val="28"/>
                <w:szCs w:val="28"/>
              </w:rPr>
              <w:t>placed in</w:t>
            </w:r>
            <w:r w:rsidR="003D2217">
              <w:rPr>
                <w:rFonts w:cstheme="minorHAnsi"/>
                <w:sz w:val="28"/>
                <w:szCs w:val="28"/>
              </w:rPr>
              <w:t xml:space="preserve"> our</w:t>
            </w:r>
            <w:r w:rsidR="003A63FC">
              <w:rPr>
                <w:rFonts w:cstheme="minorHAnsi"/>
                <w:sz w:val="28"/>
                <w:szCs w:val="28"/>
              </w:rPr>
              <w:t xml:space="preserve"> care,</w:t>
            </w:r>
            <w:r w:rsidR="00BB305B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 xml:space="preserve">the Pre-Meeting Report for the Child in Care Review can be completed </w:t>
            </w:r>
            <w:r w:rsidRPr="003A63FC">
              <w:rPr>
                <w:rFonts w:cstheme="minorHAnsi"/>
                <w:sz w:val="28"/>
                <w:szCs w:val="28"/>
              </w:rPr>
              <w:t>in place</w:t>
            </w:r>
            <w:r>
              <w:rPr>
                <w:rFonts w:cstheme="minorHAnsi"/>
                <w:sz w:val="28"/>
                <w:szCs w:val="28"/>
              </w:rPr>
              <w:t xml:space="preserve"> of an updating Child and Young Person’s Assessment. This means there will be one document to complete, and this will count as an updating assessment of the child’s needs. </w:t>
            </w:r>
          </w:p>
          <w:p w14:paraId="0467EE64" w14:textId="477A582E" w:rsidR="00BB305B" w:rsidRDefault="00BB305B" w:rsidP="00EB4D63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6CFBEF45" w14:textId="635A409C" w:rsidR="00854710" w:rsidRDefault="00854710" w:rsidP="00EB4D63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Child and Young Person’s Assessment form will still be available to complete in situations where</w:t>
            </w:r>
            <w:r w:rsidR="0048760A">
              <w:rPr>
                <w:rFonts w:cstheme="minorHAnsi"/>
                <w:sz w:val="28"/>
                <w:szCs w:val="28"/>
              </w:rPr>
              <w:t xml:space="preserve"> the assessment may be needed, for example</w:t>
            </w:r>
            <w:r w:rsidR="003A63FC">
              <w:rPr>
                <w:rFonts w:cstheme="minorHAnsi"/>
                <w:sz w:val="28"/>
                <w:szCs w:val="28"/>
              </w:rPr>
              <w:t>,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8760A">
              <w:rPr>
                <w:rFonts w:cstheme="minorHAnsi"/>
                <w:sz w:val="28"/>
                <w:szCs w:val="28"/>
              </w:rPr>
              <w:t xml:space="preserve">if </w:t>
            </w:r>
            <w:r>
              <w:rPr>
                <w:rFonts w:cstheme="minorHAnsi"/>
                <w:sz w:val="28"/>
                <w:szCs w:val="28"/>
              </w:rPr>
              <w:t xml:space="preserve">there </w:t>
            </w:r>
            <w:r w:rsidR="0048760A">
              <w:rPr>
                <w:rFonts w:cstheme="minorHAnsi"/>
                <w:sz w:val="28"/>
                <w:szCs w:val="28"/>
              </w:rPr>
              <w:t>is a</w:t>
            </w:r>
            <w:r>
              <w:rPr>
                <w:rFonts w:cstheme="minorHAnsi"/>
                <w:sz w:val="28"/>
                <w:szCs w:val="28"/>
              </w:rPr>
              <w:t xml:space="preserve"> significant change </w:t>
            </w:r>
            <w:r w:rsidR="0048760A">
              <w:rPr>
                <w:rFonts w:cstheme="minorHAnsi"/>
                <w:sz w:val="28"/>
                <w:szCs w:val="28"/>
              </w:rPr>
              <w:t>in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48760A">
              <w:rPr>
                <w:rFonts w:cstheme="minorHAnsi"/>
                <w:sz w:val="28"/>
                <w:szCs w:val="28"/>
              </w:rPr>
              <w:t>a child’s</w:t>
            </w:r>
            <w:r>
              <w:rPr>
                <w:rFonts w:cstheme="minorHAnsi"/>
                <w:sz w:val="28"/>
                <w:szCs w:val="28"/>
              </w:rPr>
              <w:t xml:space="preserve"> circumstance</w:t>
            </w:r>
            <w:r w:rsidR="0048760A">
              <w:rPr>
                <w:rFonts w:cstheme="minorHAnsi"/>
                <w:sz w:val="28"/>
                <w:szCs w:val="28"/>
              </w:rPr>
              <w:t>s.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3A35A756" w14:textId="77777777" w:rsidR="00375C49" w:rsidRPr="000C429C" w:rsidRDefault="00375C49" w:rsidP="00BB305B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375C49" w:rsidRPr="0008273A" w14:paraId="683BCFAE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3F7A3B15" w14:textId="77EAA914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Author:</w:t>
            </w:r>
          </w:p>
        </w:tc>
        <w:tc>
          <w:tcPr>
            <w:tcW w:w="4252" w:type="pct"/>
            <w:shd w:val="clear" w:color="auto" w:fill="auto"/>
          </w:tcPr>
          <w:p w14:paraId="32398D2C" w14:textId="5B69E964" w:rsidR="00375C49" w:rsidRPr="000C429C" w:rsidRDefault="00AF026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>Senior Leadership Team</w:t>
            </w:r>
          </w:p>
          <w:p w14:paraId="75741A3D" w14:textId="77777777" w:rsidR="00375C49" w:rsidRPr="000C429C" w:rsidRDefault="00375C49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lastRenderedPageBreak/>
              <w:t>Children’s Services, Dudley Council</w:t>
            </w:r>
          </w:p>
          <w:p w14:paraId="4F396746" w14:textId="511032A7" w:rsidR="00AF0263" w:rsidRPr="000C429C" w:rsidRDefault="00AF0263" w:rsidP="00AF026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375C49" w:rsidRPr="0008273A" w14:paraId="3755734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3A207FE2" w14:textId="77777777" w:rsidR="00375C49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lastRenderedPageBreak/>
              <w:t>Authorised by:</w:t>
            </w:r>
          </w:p>
          <w:p w14:paraId="2D840F14" w14:textId="18CAE0D8" w:rsidR="00226C11" w:rsidRPr="000C429C" w:rsidRDefault="00226C11" w:rsidP="007F3D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pct"/>
            <w:shd w:val="clear" w:color="auto" w:fill="auto"/>
          </w:tcPr>
          <w:p w14:paraId="3E434FB4" w14:textId="77777777" w:rsidR="00375C49" w:rsidRPr="000C429C" w:rsidRDefault="00375C49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0C429C">
              <w:rPr>
                <w:rFonts w:cstheme="minorHAnsi"/>
                <w:b/>
                <w:bCs/>
                <w:sz w:val="28"/>
                <w:szCs w:val="28"/>
              </w:rPr>
              <w:t xml:space="preserve">Senior Leadership Team </w:t>
            </w:r>
          </w:p>
        </w:tc>
      </w:tr>
      <w:tr w:rsidR="00375C49" w:rsidRPr="0008273A" w14:paraId="5FECAF73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643417D3" w14:textId="77777777" w:rsidR="00375C49" w:rsidRPr="000C429C" w:rsidRDefault="00375C49" w:rsidP="007F3D8F">
            <w:pPr>
              <w:rPr>
                <w:rFonts w:cstheme="minorHAnsi"/>
                <w:b/>
                <w:sz w:val="28"/>
                <w:szCs w:val="28"/>
              </w:rPr>
            </w:pPr>
            <w:r w:rsidRPr="000C429C">
              <w:rPr>
                <w:rFonts w:cstheme="minorHAnsi"/>
                <w:b/>
                <w:sz w:val="28"/>
                <w:szCs w:val="28"/>
              </w:rPr>
              <w:t>Date:</w:t>
            </w:r>
          </w:p>
        </w:tc>
        <w:tc>
          <w:tcPr>
            <w:tcW w:w="4252" w:type="pct"/>
            <w:shd w:val="clear" w:color="auto" w:fill="auto"/>
          </w:tcPr>
          <w:p w14:paraId="69A41474" w14:textId="607CA5E1" w:rsidR="00375C49" w:rsidRDefault="005D608E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</w:t>
            </w:r>
            <w:r w:rsidRPr="005D608E">
              <w:rPr>
                <w:rFonts w:cstheme="minorHAnsi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January 2023</w:t>
            </w:r>
          </w:p>
          <w:p w14:paraId="3D82D9DC" w14:textId="378AF9F6" w:rsidR="000C429C" w:rsidRPr="000C429C" w:rsidRDefault="000C429C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DA37B3" w:rsidRPr="0008273A" w14:paraId="4317EF76" w14:textId="77777777" w:rsidTr="00E927C3">
        <w:trPr>
          <w:trHeight w:val="357"/>
        </w:trPr>
        <w:tc>
          <w:tcPr>
            <w:tcW w:w="748" w:type="pct"/>
            <w:shd w:val="clear" w:color="auto" w:fill="auto"/>
          </w:tcPr>
          <w:p w14:paraId="114260C8" w14:textId="77777777" w:rsidR="00DA37B3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Reference Number:</w:t>
            </w:r>
          </w:p>
          <w:p w14:paraId="1A4C4900" w14:textId="58996EF4" w:rsidR="00DA37B3" w:rsidRPr="000C429C" w:rsidRDefault="00DA37B3" w:rsidP="007F3D8F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2" w:type="pct"/>
            <w:shd w:val="clear" w:color="auto" w:fill="auto"/>
          </w:tcPr>
          <w:p w14:paraId="328EEE2C" w14:textId="77777777" w:rsidR="00DA37B3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B994C7A" w14:textId="07E77DBA" w:rsidR="00DA37B3" w:rsidRPr="000C429C" w:rsidRDefault="00DA37B3" w:rsidP="007F3D8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A37B3">
              <w:rPr>
                <w:rFonts w:cstheme="minorHAnsi"/>
                <w:b/>
                <w:bCs/>
                <w:sz w:val="28"/>
                <w:szCs w:val="28"/>
              </w:rPr>
              <w:t>0</w:t>
            </w:r>
            <w:r w:rsidR="00E44175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DA37B3">
              <w:rPr>
                <w:rFonts w:cstheme="minorHAnsi"/>
                <w:b/>
                <w:bCs/>
                <w:sz w:val="28"/>
                <w:szCs w:val="28"/>
              </w:rPr>
              <w:t>/202</w:t>
            </w:r>
            <w:r w:rsidR="0085652B">
              <w:rPr>
                <w:rFonts w:cstheme="minorHAnsi"/>
                <w:b/>
                <w:bCs/>
                <w:sz w:val="28"/>
                <w:szCs w:val="28"/>
              </w:rPr>
              <w:t>3</w:t>
            </w:r>
            <w:r w:rsidRPr="00DA37B3">
              <w:rPr>
                <w:rFonts w:cstheme="minorHAnsi"/>
                <w:b/>
                <w:bCs/>
                <w:sz w:val="28"/>
                <w:szCs w:val="28"/>
              </w:rPr>
              <w:t>/CPP</w:t>
            </w:r>
          </w:p>
        </w:tc>
      </w:tr>
    </w:tbl>
    <w:p w14:paraId="77241886" w14:textId="77777777" w:rsidR="00375C49" w:rsidRDefault="00375C49" w:rsidP="00A95666">
      <w:pPr>
        <w:jc w:val="both"/>
        <w:rPr>
          <w:rFonts w:cstheme="minorHAnsi"/>
          <w:sz w:val="24"/>
          <w:szCs w:val="24"/>
        </w:rPr>
      </w:pPr>
    </w:p>
    <w:sectPr w:rsidR="00375C49" w:rsidSect="008E597E">
      <w:headerReference w:type="default" r:id="rId11"/>
      <w:footerReference w:type="default" r:id="rId12"/>
      <w:pgSz w:w="11906" w:h="16838"/>
      <w:pgMar w:top="1440" w:right="991" w:bottom="241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1610" w14:textId="77777777" w:rsidR="00795BCA" w:rsidRDefault="00795BCA" w:rsidP="00D17782">
      <w:pPr>
        <w:spacing w:after="0" w:line="240" w:lineRule="auto"/>
      </w:pPr>
      <w:r>
        <w:separator/>
      </w:r>
    </w:p>
  </w:endnote>
  <w:endnote w:type="continuationSeparator" w:id="0">
    <w:p w14:paraId="77EDB5A4" w14:textId="77777777" w:rsidR="00795BCA" w:rsidRDefault="00795BCA" w:rsidP="00D17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9247" w14:textId="77777777" w:rsidR="008E597E" w:rsidRDefault="008E597E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EB76C10" wp14:editId="4DB96732">
          <wp:simplePos x="0" y="0"/>
          <wp:positionH relativeFrom="column">
            <wp:posOffset>45085</wp:posOffset>
          </wp:positionH>
          <wp:positionV relativeFrom="paragraph">
            <wp:posOffset>62086</wp:posOffset>
          </wp:positionV>
          <wp:extent cx="6390640" cy="1684020"/>
          <wp:effectExtent l="0" t="0" r="0" b="0"/>
          <wp:wrapSquare wrapText="bothSides"/>
          <wp:docPr id="13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udley cp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168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1B905" w14:textId="77777777" w:rsidR="00795BCA" w:rsidRDefault="00795BCA" w:rsidP="00D17782">
      <w:pPr>
        <w:spacing w:after="0" w:line="240" w:lineRule="auto"/>
      </w:pPr>
      <w:r>
        <w:separator/>
      </w:r>
    </w:p>
  </w:footnote>
  <w:footnote w:type="continuationSeparator" w:id="0">
    <w:p w14:paraId="007D711A" w14:textId="77777777" w:rsidR="00795BCA" w:rsidRDefault="00795BCA" w:rsidP="00D17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36013" w14:textId="77777777" w:rsidR="00273606" w:rsidRDefault="000C166D" w:rsidP="00273606">
    <w:pPr>
      <w:pStyle w:val="Default"/>
      <w:jc w:val="cen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5F8892F" wp14:editId="0AB3CC75">
          <wp:simplePos x="0" y="0"/>
          <wp:positionH relativeFrom="column">
            <wp:posOffset>275508</wp:posOffset>
          </wp:positionH>
          <wp:positionV relativeFrom="paragraph">
            <wp:posOffset>-243205</wp:posOffset>
          </wp:positionV>
          <wp:extent cx="5731510" cy="548640"/>
          <wp:effectExtent l="0" t="0" r="2540" b="381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ldren at the he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697B4A" w14:textId="77777777" w:rsidR="000C166D" w:rsidRPr="00273606" w:rsidRDefault="00273606" w:rsidP="00273606">
    <w:pPr>
      <w:pStyle w:val="Default"/>
      <w:jc w:val="center"/>
      <w:rPr>
        <w:sz w:val="30"/>
      </w:rPr>
    </w:pPr>
    <w:r w:rsidRPr="00273606">
      <w:rPr>
        <w:b/>
        <w:bCs/>
        <w:color w:val="1F5EA8"/>
        <w:sz w:val="26"/>
        <w:szCs w:val="20"/>
      </w:rPr>
      <w:t>CHILDREN’S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651C"/>
    <w:multiLevelType w:val="hybridMultilevel"/>
    <w:tmpl w:val="7424EE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55853"/>
    <w:multiLevelType w:val="hybridMultilevel"/>
    <w:tmpl w:val="15606FBE"/>
    <w:lvl w:ilvl="0" w:tplc="AD866F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70C3B"/>
    <w:multiLevelType w:val="hybridMultilevel"/>
    <w:tmpl w:val="AF3C08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60917"/>
    <w:multiLevelType w:val="hybridMultilevel"/>
    <w:tmpl w:val="643A865E"/>
    <w:lvl w:ilvl="0" w:tplc="32D8EF44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AF5C55"/>
    <w:multiLevelType w:val="hybridMultilevel"/>
    <w:tmpl w:val="0ED692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14C"/>
    <w:multiLevelType w:val="hybridMultilevel"/>
    <w:tmpl w:val="2AA8D7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D5CFF"/>
    <w:multiLevelType w:val="hybridMultilevel"/>
    <w:tmpl w:val="C036778E"/>
    <w:lvl w:ilvl="0" w:tplc="61F45D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614B"/>
    <w:multiLevelType w:val="hybridMultilevel"/>
    <w:tmpl w:val="A9303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845F3"/>
    <w:multiLevelType w:val="hybridMultilevel"/>
    <w:tmpl w:val="2DD8115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4D8933AC"/>
    <w:multiLevelType w:val="hybridMultilevel"/>
    <w:tmpl w:val="00E0F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56CAB"/>
    <w:multiLevelType w:val="hybridMultilevel"/>
    <w:tmpl w:val="0F4AC4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1286C"/>
    <w:multiLevelType w:val="hybridMultilevel"/>
    <w:tmpl w:val="DB8C1016"/>
    <w:lvl w:ilvl="0" w:tplc="0809000F">
      <w:start w:val="1"/>
      <w:numFmt w:val="decimal"/>
      <w:lvlText w:val="%1."/>
      <w:lvlJc w:val="left"/>
      <w:pPr>
        <w:ind w:left="757" w:hanging="360"/>
      </w:p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3272481"/>
    <w:multiLevelType w:val="hybridMultilevel"/>
    <w:tmpl w:val="67B6258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1526A"/>
    <w:multiLevelType w:val="hybridMultilevel"/>
    <w:tmpl w:val="ECD076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7371FD"/>
    <w:multiLevelType w:val="hybridMultilevel"/>
    <w:tmpl w:val="7068A004"/>
    <w:lvl w:ilvl="0" w:tplc="0809000F">
      <w:start w:val="1"/>
      <w:numFmt w:val="decimal"/>
      <w:lvlText w:val="%1."/>
      <w:lvlJc w:val="left"/>
      <w:pPr>
        <w:ind w:left="1221" w:hanging="360"/>
      </w:pPr>
    </w:lvl>
    <w:lvl w:ilvl="1" w:tplc="08090019">
      <w:start w:val="1"/>
      <w:numFmt w:val="lowerLetter"/>
      <w:lvlText w:val="%2."/>
      <w:lvlJc w:val="left"/>
      <w:pPr>
        <w:ind w:left="1941" w:hanging="360"/>
      </w:pPr>
    </w:lvl>
    <w:lvl w:ilvl="2" w:tplc="0809001B" w:tentative="1">
      <w:start w:val="1"/>
      <w:numFmt w:val="lowerRoman"/>
      <w:lvlText w:val="%3."/>
      <w:lvlJc w:val="right"/>
      <w:pPr>
        <w:ind w:left="2661" w:hanging="180"/>
      </w:pPr>
    </w:lvl>
    <w:lvl w:ilvl="3" w:tplc="0809000F" w:tentative="1">
      <w:start w:val="1"/>
      <w:numFmt w:val="decimal"/>
      <w:lvlText w:val="%4."/>
      <w:lvlJc w:val="left"/>
      <w:pPr>
        <w:ind w:left="3381" w:hanging="360"/>
      </w:pPr>
    </w:lvl>
    <w:lvl w:ilvl="4" w:tplc="08090019" w:tentative="1">
      <w:start w:val="1"/>
      <w:numFmt w:val="lowerLetter"/>
      <w:lvlText w:val="%5."/>
      <w:lvlJc w:val="left"/>
      <w:pPr>
        <w:ind w:left="4101" w:hanging="360"/>
      </w:pPr>
    </w:lvl>
    <w:lvl w:ilvl="5" w:tplc="0809001B" w:tentative="1">
      <w:start w:val="1"/>
      <w:numFmt w:val="lowerRoman"/>
      <w:lvlText w:val="%6."/>
      <w:lvlJc w:val="right"/>
      <w:pPr>
        <w:ind w:left="4821" w:hanging="180"/>
      </w:pPr>
    </w:lvl>
    <w:lvl w:ilvl="6" w:tplc="0809000F" w:tentative="1">
      <w:start w:val="1"/>
      <w:numFmt w:val="decimal"/>
      <w:lvlText w:val="%7."/>
      <w:lvlJc w:val="left"/>
      <w:pPr>
        <w:ind w:left="5541" w:hanging="360"/>
      </w:pPr>
    </w:lvl>
    <w:lvl w:ilvl="7" w:tplc="08090019" w:tentative="1">
      <w:start w:val="1"/>
      <w:numFmt w:val="lowerLetter"/>
      <w:lvlText w:val="%8."/>
      <w:lvlJc w:val="left"/>
      <w:pPr>
        <w:ind w:left="6261" w:hanging="360"/>
      </w:pPr>
    </w:lvl>
    <w:lvl w:ilvl="8" w:tplc="08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5" w15:restartNumberingAfterBreak="0">
    <w:nsid w:val="69507B50"/>
    <w:multiLevelType w:val="hybridMultilevel"/>
    <w:tmpl w:val="5F944C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D0B34"/>
    <w:multiLevelType w:val="hybridMultilevel"/>
    <w:tmpl w:val="A7248696"/>
    <w:lvl w:ilvl="0" w:tplc="B80410B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33DF2"/>
    <w:multiLevelType w:val="hybridMultilevel"/>
    <w:tmpl w:val="F6F01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2A3A83"/>
    <w:multiLevelType w:val="hybridMultilevel"/>
    <w:tmpl w:val="EA78A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25E6E"/>
    <w:multiLevelType w:val="hybridMultilevel"/>
    <w:tmpl w:val="0606601C"/>
    <w:lvl w:ilvl="0" w:tplc="26281F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0397B"/>
    <w:multiLevelType w:val="hybridMultilevel"/>
    <w:tmpl w:val="D8B2A8E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362FCC"/>
    <w:multiLevelType w:val="hybridMultilevel"/>
    <w:tmpl w:val="1BDAE5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51976">
    <w:abstractNumId w:val="6"/>
  </w:num>
  <w:num w:numId="2" w16cid:durableId="507058887">
    <w:abstractNumId w:val="8"/>
  </w:num>
  <w:num w:numId="3" w16cid:durableId="211692929">
    <w:abstractNumId w:val="11"/>
  </w:num>
  <w:num w:numId="4" w16cid:durableId="153690858">
    <w:abstractNumId w:val="14"/>
  </w:num>
  <w:num w:numId="5" w16cid:durableId="344789337">
    <w:abstractNumId w:val="9"/>
  </w:num>
  <w:num w:numId="6" w16cid:durableId="1844123527">
    <w:abstractNumId w:val="18"/>
  </w:num>
  <w:num w:numId="7" w16cid:durableId="530148293">
    <w:abstractNumId w:val="12"/>
  </w:num>
  <w:num w:numId="8" w16cid:durableId="37508315">
    <w:abstractNumId w:val="13"/>
  </w:num>
  <w:num w:numId="9" w16cid:durableId="960771595">
    <w:abstractNumId w:val="21"/>
  </w:num>
  <w:num w:numId="10" w16cid:durableId="279383056">
    <w:abstractNumId w:val="2"/>
  </w:num>
  <w:num w:numId="11" w16cid:durableId="959527865">
    <w:abstractNumId w:val="10"/>
  </w:num>
  <w:num w:numId="12" w16cid:durableId="1189835229">
    <w:abstractNumId w:val="4"/>
  </w:num>
  <w:num w:numId="13" w16cid:durableId="1083645141">
    <w:abstractNumId w:val="15"/>
  </w:num>
  <w:num w:numId="14" w16cid:durableId="1854032824">
    <w:abstractNumId w:val="5"/>
  </w:num>
  <w:num w:numId="15" w16cid:durableId="279189625">
    <w:abstractNumId w:val="20"/>
  </w:num>
  <w:num w:numId="16" w16cid:durableId="542520152">
    <w:abstractNumId w:val="19"/>
  </w:num>
  <w:num w:numId="17" w16cid:durableId="503860878">
    <w:abstractNumId w:val="1"/>
  </w:num>
  <w:num w:numId="18" w16cid:durableId="77078658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45937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23651">
    <w:abstractNumId w:val="3"/>
  </w:num>
  <w:num w:numId="21" w16cid:durableId="313922756">
    <w:abstractNumId w:val="17"/>
  </w:num>
  <w:num w:numId="22" w16cid:durableId="209726491">
    <w:abstractNumId w:val="0"/>
  </w:num>
  <w:num w:numId="23" w16cid:durableId="13516890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66"/>
    <w:rsid w:val="000C166D"/>
    <w:rsid w:val="000C429C"/>
    <w:rsid w:val="000D4E4E"/>
    <w:rsid w:val="00181604"/>
    <w:rsid w:val="00226C11"/>
    <w:rsid w:val="00264BCD"/>
    <w:rsid w:val="00273606"/>
    <w:rsid w:val="002D6BB6"/>
    <w:rsid w:val="003517A3"/>
    <w:rsid w:val="00375C49"/>
    <w:rsid w:val="00390F1E"/>
    <w:rsid w:val="003A63FC"/>
    <w:rsid w:val="003A79FD"/>
    <w:rsid w:val="003D2217"/>
    <w:rsid w:val="004414F4"/>
    <w:rsid w:val="0048760A"/>
    <w:rsid w:val="004D2411"/>
    <w:rsid w:val="004D73BC"/>
    <w:rsid w:val="004F1E8F"/>
    <w:rsid w:val="0050342A"/>
    <w:rsid w:val="0054010A"/>
    <w:rsid w:val="005816B3"/>
    <w:rsid w:val="005D4C7D"/>
    <w:rsid w:val="005D608E"/>
    <w:rsid w:val="005F1E6F"/>
    <w:rsid w:val="00690C54"/>
    <w:rsid w:val="006F0B81"/>
    <w:rsid w:val="00705384"/>
    <w:rsid w:val="00726189"/>
    <w:rsid w:val="00781A28"/>
    <w:rsid w:val="00795BCA"/>
    <w:rsid w:val="007C3CE9"/>
    <w:rsid w:val="007D2A82"/>
    <w:rsid w:val="0082678D"/>
    <w:rsid w:val="00854710"/>
    <w:rsid w:val="0085652B"/>
    <w:rsid w:val="008B27B6"/>
    <w:rsid w:val="008E597E"/>
    <w:rsid w:val="0096689C"/>
    <w:rsid w:val="009A3F3E"/>
    <w:rsid w:val="00A95666"/>
    <w:rsid w:val="00AF0263"/>
    <w:rsid w:val="00B034EE"/>
    <w:rsid w:val="00B1737D"/>
    <w:rsid w:val="00B50BE8"/>
    <w:rsid w:val="00B60041"/>
    <w:rsid w:val="00B9538F"/>
    <w:rsid w:val="00BB305B"/>
    <w:rsid w:val="00BE68A7"/>
    <w:rsid w:val="00BE76FA"/>
    <w:rsid w:val="00C775CB"/>
    <w:rsid w:val="00C84801"/>
    <w:rsid w:val="00C94BF7"/>
    <w:rsid w:val="00CA410B"/>
    <w:rsid w:val="00CC7E25"/>
    <w:rsid w:val="00D17782"/>
    <w:rsid w:val="00D54FF7"/>
    <w:rsid w:val="00D85128"/>
    <w:rsid w:val="00DA37B3"/>
    <w:rsid w:val="00E44175"/>
    <w:rsid w:val="00E927C3"/>
    <w:rsid w:val="00EB4D63"/>
    <w:rsid w:val="00EB555E"/>
    <w:rsid w:val="00F00D85"/>
    <w:rsid w:val="00F11A48"/>
    <w:rsid w:val="00F22422"/>
    <w:rsid w:val="00F23E26"/>
    <w:rsid w:val="00F26BCD"/>
    <w:rsid w:val="00F7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4301D8"/>
  <w15:chartTrackingRefBased/>
  <w15:docId w15:val="{FD03BC3F-A7AD-41CA-A284-F2003C79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782"/>
  </w:style>
  <w:style w:type="paragraph" w:styleId="Footer">
    <w:name w:val="footer"/>
    <w:basedOn w:val="Normal"/>
    <w:link w:val="FooterChar"/>
    <w:uiPriority w:val="99"/>
    <w:unhideWhenUsed/>
    <w:rsid w:val="00D17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782"/>
  </w:style>
  <w:style w:type="paragraph" w:styleId="NoSpacing">
    <w:name w:val="No Spacing"/>
    <w:uiPriority w:val="1"/>
    <w:qFormat/>
    <w:rsid w:val="000C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73606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9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3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3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5C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C006382832438553922F0A22EE2B" ma:contentTypeVersion="13" ma:contentTypeDescription="Create a new document." ma:contentTypeScope="" ma:versionID="8684a7f33cc5026601caf1cb8a82a1fc">
  <xsd:schema xmlns:xsd="http://www.w3.org/2001/XMLSchema" xmlns:xs="http://www.w3.org/2001/XMLSchema" xmlns:p="http://schemas.microsoft.com/office/2006/metadata/properties" xmlns:ns2="3172fb38-cde7-4eb4-8318-1bf2ef24637f" xmlns:ns3="6abb39b3-6708-4143-83c1-4cd56ca06f19" targetNamespace="http://schemas.microsoft.com/office/2006/metadata/properties" ma:root="true" ma:fieldsID="d37025e126f4698385eff00608d4bf3d" ns2:_="" ns3:_="">
    <xsd:import namespace="3172fb38-cde7-4eb4-8318-1bf2ef24637f"/>
    <xsd:import namespace="6abb39b3-6708-4143-83c1-4cd56ca06f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2fb38-cde7-4eb4-8318-1bf2ef2463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f5a40c1-2774-488b-88e3-a0df393a2a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b39b3-6708-4143-83c1-4cd56ca06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0cefec5c-5496-4ac7-b7e7-bce45172193c}" ma:internalName="TaxCatchAll" ma:showField="CatchAllData" ma:web="6abb39b3-6708-4143-83c1-4cd56ca06f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bb39b3-6708-4143-83c1-4cd56ca06f19">
      <Value>162</Value>
      <Value>8</Value>
      <Value>56</Value>
    </TaxCatchAll>
    <lcf76f155ced4ddcb4097134ff3c332f xmlns="3172fb38-cde7-4eb4-8318-1bf2ef24637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515EA7-0FDB-4EF1-ABE1-B431C8436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2fb38-cde7-4eb4-8318-1bf2ef24637f"/>
    <ds:schemaRef ds:uri="6abb39b3-6708-4143-83c1-4cd56ca06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8C75CA-51F0-4E1C-9015-F7974606832D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6abb39b3-6708-4143-83c1-4cd56ca06f19"/>
    <ds:schemaRef ds:uri="3172fb38-cde7-4eb4-8318-1bf2ef24637f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9186D0D-3303-4A21-883D-B999D17759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branding - document template - portrait FC</vt:lpstr>
    </vt:vector>
  </TitlesOfParts>
  <Company>Dudley MBC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branding - document template - portrait FC</dc:title>
  <dc:subject/>
  <dc:creator>Nisha Patel</dc:creator>
  <cp:keywords/>
  <dc:description/>
  <cp:lastModifiedBy>Vicki Silvester-Grant (Childrens Social Care)</cp:lastModifiedBy>
  <cp:revision>2</cp:revision>
  <dcterms:created xsi:type="dcterms:W3CDTF">2024-02-07T11:28:00Z</dcterms:created>
  <dcterms:modified xsi:type="dcterms:W3CDTF">2024-02-07T11:28:00Z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0x0101009C96C006382832438553922F0A22EE2B</vt:lpwstr>
  </property>
  <property fmtid="{D5CDD505-2E9C-101B-9397-08002B2CF9AE}" pid="3" name="_dlc_DocIdItemGuid">
    <vt:lpwstr>75c31b73-0b39-4065-99ba-f3b2a44470df</vt:lpwstr>
  </property>
  <property fmtid="{D5CDD505-2E9C-101B-9397-08002B2CF9AE}" pid="4" name="LGCL">
    <vt:lpwstr>8;#Information management|22b5931d-a622-45c8-afba-f6b7d4943931</vt:lpwstr>
  </property>
  <property fmtid="{D5CDD505-2E9C-101B-9397-08002B2CF9AE}" pid="5" name="DocumentCategories">
    <vt:lpwstr>56;#Briefing|0723598f-7453-4a42-bef8-fd1e1850ebea</vt:lpwstr>
  </property>
  <property fmtid="{D5CDD505-2E9C-101B-9397-08002B2CF9AE}" pid="6" name="SupportCategories">
    <vt:lpwstr>162;#Communications and Public Affairs|9b70284a-eb44-4a8c-bac9-abfd9ef233ad</vt:lpwstr>
  </property>
</Properties>
</file>